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1A" w:rsidRDefault="0070591A" w:rsidP="0070591A">
      <w:pPr>
        <w:pStyle w:val="a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МЕТОДОЛОГИЧЕСКИЕ ПОЯСНЕНИЯ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общую численность врачей</w:t>
      </w:r>
      <w:r>
        <w:rPr>
          <w:rFonts w:ascii="Arial" w:hAnsi="Arial" w:cs="Arial"/>
          <w:color w:val="000000"/>
          <w:sz w:val="20"/>
          <w:szCs w:val="20"/>
        </w:rPr>
        <w:t> включаются все врачи с высшим медицинским образованием, занятые в лечебных, санитарных организациях, учреждениях социального обеспечения, научно-исследовательских институтах, учреждениях, занятых подготовкой кадров, в аппарате органов здравоохранения и др.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 общую численность среднего медицинского персонала </w:t>
      </w:r>
      <w:r>
        <w:rPr>
          <w:rFonts w:ascii="Arial" w:hAnsi="Arial" w:cs="Arial"/>
          <w:color w:val="000000"/>
          <w:sz w:val="20"/>
          <w:szCs w:val="20"/>
        </w:rPr>
        <w:t xml:space="preserve">включаются все лица со средним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медицинскимобразованием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занятые в лечебных, санитарных организациях, учреждениях социального обеспечения, дошкольных учреждениях, школах, домах ребенка и др.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 больничных учреждениях учету подлежат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койки</w:t>
      </w:r>
      <w:r>
        <w:rPr>
          <w:rFonts w:ascii="Arial" w:hAnsi="Arial" w:cs="Arial"/>
          <w:color w:val="000000"/>
          <w:sz w:val="20"/>
          <w:szCs w:val="20"/>
        </w:rPr>
        <w:t>, оборудованные необходимым инвентарем и готовые принять больных, независимо от того, заняты они больными или нет.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Заболеваемость </w:t>
      </w:r>
      <w:r>
        <w:rPr>
          <w:rFonts w:ascii="Arial" w:hAnsi="Arial" w:cs="Arial"/>
          <w:color w:val="000000"/>
          <w:sz w:val="20"/>
          <w:szCs w:val="20"/>
        </w:rPr>
        <w:t>населения характеризуется числом больных с впервые в жизни установленным диагнозом, выявленных в течение года при обращении в лечебно- профилактическое учреждение или при профилактическом осмотре. Расчет заболеваемости на 1000 человек населения осуществляется по данным Министерства здравоохранения и социального развития Российской Федерации.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Уровень заболеваемости</w:t>
      </w:r>
      <w:r>
        <w:rPr>
          <w:rFonts w:ascii="Arial" w:hAnsi="Arial" w:cs="Arial"/>
          <w:color w:val="000000"/>
          <w:sz w:val="20"/>
          <w:szCs w:val="20"/>
        </w:rPr>
        <w:t> населения - отношение числа больных с впервые в жизни установленным диагнозом к среднегодовой численности населения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Численность</w:t>
      </w:r>
      <w:r>
        <w:rPr>
          <w:rFonts w:ascii="Arial" w:hAnsi="Arial" w:cs="Arial"/>
          <w:color w:val="000000"/>
          <w:sz w:val="20"/>
          <w:szCs w:val="20"/>
        </w:rPr>
        <w:t> медицинских кадров, больничных и врачебных амбулаторно-поликлинических учреждений на 10 000 человек населения рассчитывается как отношение численности врачей или среднего медицинского персонала, больничных коек или числа посещений в смену (мощность врачебных амбулаторно-поликлинических учреждений) к численности населения на конец года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Библиотечный фонд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общедоступных библиотек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 1000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человек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населения</w:t>
      </w:r>
      <w:r>
        <w:rPr>
          <w:rFonts w:ascii="Arial" w:hAnsi="Arial" w:cs="Arial"/>
          <w:color w:val="000000"/>
          <w:sz w:val="20"/>
          <w:szCs w:val="20"/>
        </w:rPr>
        <w:t> определяется отношением числа экземпляров фонда к численности населения на 1 января соответствующего года.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Численность зрителей театров, число посещений музеев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на 1000 человек населения</w:t>
      </w:r>
      <w:r>
        <w:rPr>
          <w:rFonts w:ascii="Arial" w:hAnsi="Arial" w:cs="Arial"/>
          <w:color w:val="000000"/>
          <w:sz w:val="20"/>
          <w:szCs w:val="20"/>
        </w:rPr>
        <w:t> определяется отношением соответственно численности зрителей, числа посещений к среднегодовой численности населения.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тираж выпуска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печатной продукции</w:t>
      </w:r>
      <w:r>
        <w:rPr>
          <w:rFonts w:ascii="Arial" w:hAnsi="Arial" w:cs="Arial"/>
          <w:color w:val="000000"/>
          <w:sz w:val="20"/>
          <w:szCs w:val="20"/>
        </w:rPr>
        <w:t> исчисляется как отношение количества тиражей изданных газет за год к среднегодовой численности населения.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Дошкольные образовательные учреждения - тип образовательных учреждений, реализующих общеобразовательные программы дошкольного образования различной направленности, обеспечивающие воспитание, обучение, уход и оздоровление детей в возрасте от 2 месяцев до 7 лет.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Охват детей дошкольными учреждениями</w:t>
      </w:r>
      <w:r>
        <w:rPr>
          <w:rFonts w:ascii="Arial" w:hAnsi="Arial" w:cs="Arial"/>
          <w:color w:val="000000"/>
          <w:sz w:val="20"/>
          <w:szCs w:val="20"/>
        </w:rPr>
        <w:t> определяется отношением численности детей, посещающих дошкольные учреждения, к численности детей в возрасте 1-6 лет по данным статистики демографии, скорректированной на численность детей 6 лет, обучающихся в школе.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Численность детей, приходящихся на 100 мест в дошкольных учреждениях определяется отношением численности детей, посещающих дошкольные учреждения, к числу мест в этих учреждениях.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учащимся дневных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общеобразовательных</w:t>
      </w:r>
      <w:r>
        <w:rPr>
          <w:rFonts w:ascii="Arial" w:hAnsi="Arial" w:cs="Arial"/>
          <w:color w:val="000000"/>
          <w:sz w:val="20"/>
          <w:szCs w:val="20"/>
        </w:rPr>
        <w:t>учреждений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отнесены лица, обучающиеся в начальных, основных и средних (полных) школах, а также учащиеся специальных (коррекционных) школ для детей с отклонениями в развитии.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Законом Российской Федерации от 13.01.96 г. № 12-ФЗ "Об образовании" установлены образовательные цензы общего образования: основное общее образование (лица, получившие документ об окончании 9-го класса общеобразовательного учреждения), среднее (полное) общее образование (лица, получившие документ об окончании 11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12)-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го класса). </w:t>
      </w:r>
      <w:r>
        <w:rPr>
          <w:rFonts w:ascii="Arial" w:hAnsi="Arial" w:cs="Arial"/>
          <w:color w:val="000000"/>
          <w:sz w:val="20"/>
          <w:szCs w:val="20"/>
        </w:rPr>
        <w:lastRenderedPageBreak/>
        <w:t>Среднее профессиональное образование может быть получено в образовательных учреждениях среднего профессионального образования (средних специальных учебных заведениях); высшее профессиональное образование - в образовательных учреждениях высшего профессионального образования (высших учебных заведениях).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о начальном профессиональном образовании приведена по данным Федерального агентства по образованию.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общую численность студентов учреждений среднего и высшего профессионального образования </w:t>
      </w:r>
      <w:r>
        <w:rPr>
          <w:rFonts w:ascii="Arial" w:hAnsi="Arial" w:cs="Arial"/>
          <w:color w:val="000000"/>
          <w:sz w:val="20"/>
          <w:szCs w:val="20"/>
        </w:rPr>
        <w:t>не включены иностранные граждане за исключением граждан из стран СНГ и Балтии, принятых в государственные и муниципальные средние и высшие учебные заведения на условиях общего приема.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числе негосударственных высших учебных заведений учтены вузы, имеющие государственную лицензию.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Численность студентов высших и средних специальных учебных заведений в расчете на 10 000 человек населения определяется как отношение численности студентов к численности наличного населения на 1 января соответствующего года.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Данные о числе филиалов негосударственных средних специальных учебных заведений не разрабатываются.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Зарегистрированное преступление - выявленное и официально взятое на учет органами внутренних дел общественно опасное деяние, предусмотренное уголовным законодательством.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Кража</w:t>
      </w:r>
      <w:r>
        <w:rPr>
          <w:rFonts w:ascii="Arial" w:hAnsi="Arial" w:cs="Arial"/>
          <w:color w:val="000000"/>
          <w:sz w:val="20"/>
          <w:szCs w:val="20"/>
        </w:rPr>
        <w:t> - тайное хищение чужого имущества.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Грабеж</w:t>
      </w:r>
      <w:r>
        <w:rPr>
          <w:rFonts w:ascii="Arial" w:hAnsi="Arial" w:cs="Arial"/>
          <w:color w:val="000000"/>
          <w:sz w:val="20"/>
          <w:szCs w:val="20"/>
        </w:rPr>
        <w:t> - открытое хищение чужого имущества.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Разбой</w:t>
      </w:r>
      <w:r>
        <w:rPr>
          <w:rFonts w:ascii="Arial" w:hAnsi="Arial" w:cs="Arial"/>
          <w:color w:val="000000"/>
          <w:sz w:val="20"/>
          <w:szCs w:val="20"/>
        </w:rPr>
        <w:t> -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насилия.</w:t>
      </w:r>
    </w:p>
    <w:p w:rsidR="0070591A" w:rsidRDefault="0070591A" w:rsidP="007059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расчете числа зарегистрированных преступлений на 100 000 человек населения используется среднегодовая численность постоянного населения, пересчитанная с учетом итогов Всероссийской переписи населения 2002 г.</w:t>
      </w:r>
    </w:p>
    <w:p w:rsidR="004628BC" w:rsidRDefault="004628BC">
      <w:bookmarkStart w:id="0" w:name="_GoBack"/>
      <w:bookmarkEnd w:id="0"/>
    </w:p>
    <w:sectPr w:rsidR="0046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1A"/>
    <w:rsid w:val="004628BC"/>
    <w:rsid w:val="0070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F6E3-584D-4A16-8A96-544065B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Виктор Гайкович</dc:creator>
  <cp:keywords/>
  <dc:description/>
  <cp:lastModifiedBy>Лазарев Виктор Гайкович</cp:lastModifiedBy>
  <cp:revision>1</cp:revision>
  <dcterms:created xsi:type="dcterms:W3CDTF">2018-12-21T07:50:00Z</dcterms:created>
  <dcterms:modified xsi:type="dcterms:W3CDTF">2018-12-21T07:50:00Z</dcterms:modified>
</cp:coreProperties>
</file>