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E" w:rsidRPr="0023722E" w:rsidRDefault="0023722E" w:rsidP="000507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Наличие основных фондов по остаточной балансовой стоимости</w:t>
      </w:r>
    </w:p>
    <w:p w:rsid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Остаточная балансовая стоимость</w:t>
      </w:r>
      <w:r w:rsidRPr="0023722E">
        <w:rPr>
          <w:rFonts w:ascii="Times New Roman" w:hAnsi="Times New Roman" w:cs="Times New Roman"/>
          <w:sz w:val="28"/>
          <w:szCs w:val="28"/>
        </w:rPr>
        <w:t xml:space="preserve"> отражает изменение состояния основных фондов, постепенную утрату ими потребительских свойств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r w:rsidRPr="0023722E">
        <w:rPr>
          <w:rFonts w:ascii="Times New Roman" w:hAnsi="Times New Roman" w:cs="Times New Roman"/>
          <w:sz w:val="28"/>
          <w:szCs w:val="28"/>
        </w:rPr>
        <w:t xml:space="preserve">и стоимости в процессе эксплуатации, под воздействием сил природы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3722E">
        <w:rPr>
          <w:rFonts w:ascii="Times New Roman" w:hAnsi="Times New Roman" w:cs="Times New Roman"/>
          <w:sz w:val="28"/>
          <w:szCs w:val="28"/>
        </w:rPr>
        <w:t>и вследствие технического прогресса, в размере накопленного износа. При этом величина износа определяется в соответствии с нормами и методами начисления амортизации и износа, применяемыми в бухгалтерском учете.</w:t>
      </w:r>
    </w:p>
    <w:p w:rsidR="0023722E" w:rsidRP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Остаточная балансовая стоимость основных фондов равна разнице их полной учетной стоимости и сумм амортизации (износа), начисленных (определенных) за весь период с начала эксплуатации соответствующих объектов, с учетом их изменения в результате переоценки.</w:t>
      </w:r>
    </w:p>
    <w:p w:rsidR="0023722E" w:rsidRPr="0023722E" w:rsidRDefault="0023722E" w:rsidP="002372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722E" w:rsidRPr="0023722E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E"/>
    <w:rsid w:val="000507F7"/>
    <w:rsid w:val="0011176B"/>
    <w:rsid w:val="0023722E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Rosstat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2</cp:revision>
  <dcterms:created xsi:type="dcterms:W3CDTF">2021-09-27T10:53:00Z</dcterms:created>
  <dcterms:modified xsi:type="dcterms:W3CDTF">2021-09-27T11:11:00Z</dcterms:modified>
</cp:coreProperties>
</file>